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8FF" w:rsidRPr="005968FF" w:rsidRDefault="005968FF" w:rsidP="00C9005D">
      <w:pPr>
        <w:pStyle w:val="xxxmsonormal"/>
        <w:rPr>
          <w:rFonts w:ascii="Aptos" w:hAnsi="Aptos"/>
          <w:iCs/>
          <w:sz w:val="24"/>
          <w:szCs w:val="24"/>
        </w:rPr>
      </w:pPr>
      <w:bookmarkStart w:id="0" w:name="_GoBack"/>
      <w:bookmarkEnd w:id="0"/>
      <w:r>
        <w:rPr>
          <w:b/>
          <w:noProof/>
        </w:rPr>
        <w:drawing>
          <wp:inline distT="0" distB="0" distL="0" distR="0" wp14:anchorId="6A2B4CB1" wp14:editId="1A2A243B">
            <wp:extent cx="2177935" cy="52785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C Logo.jpg"/>
                    <pic:cNvPicPr/>
                  </pic:nvPicPr>
                  <pic:blipFill>
                    <a:blip r:embed="rId7">
                      <a:extLst>
                        <a:ext uri="{28A0092B-C50C-407E-A947-70E740481C1C}">
                          <a14:useLocalDpi xmlns:a14="http://schemas.microsoft.com/office/drawing/2010/main" val="0"/>
                        </a:ext>
                      </a:extLst>
                    </a:blip>
                    <a:stretch>
                      <a:fillRect/>
                    </a:stretch>
                  </pic:blipFill>
                  <pic:spPr>
                    <a:xfrm>
                      <a:off x="0" y="0"/>
                      <a:ext cx="2177935" cy="527858"/>
                    </a:xfrm>
                    <a:prstGeom prst="rect">
                      <a:avLst/>
                    </a:prstGeom>
                  </pic:spPr>
                </pic:pic>
              </a:graphicData>
            </a:graphic>
          </wp:inline>
        </w:drawing>
      </w:r>
    </w:p>
    <w:p w:rsidR="005968FF" w:rsidRDefault="005968FF" w:rsidP="00C9005D">
      <w:pPr>
        <w:pStyle w:val="xxxmsonormal"/>
        <w:rPr>
          <w:rFonts w:ascii="Aptos" w:hAnsi="Aptos"/>
          <w:i/>
          <w:iCs/>
          <w:sz w:val="24"/>
          <w:szCs w:val="24"/>
        </w:rPr>
      </w:pPr>
    </w:p>
    <w:p w:rsidR="005968FF" w:rsidRDefault="005968FF" w:rsidP="005968FF">
      <w:pPr>
        <w:rPr>
          <w:b/>
          <w:sz w:val="32"/>
        </w:rPr>
      </w:pPr>
      <w:r w:rsidRPr="003200E0">
        <w:rPr>
          <w:b/>
          <w:sz w:val="32"/>
        </w:rPr>
        <w:t>Accreditation Statements</w:t>
      </w:r>
      <w:r>
        <w:rPr>
          <w:b/>
          <w:sz w:val="32"/>
        </w:rPr>
        <w:t xml:space="preserve"> for </w:t>
      </w:r>
      <w:r w:rsidRPr="003200E0">
        <w:rPr>
          <w:b/>
          <w:sz w:val="32"/>
        </w:rPr>
        <w:t>Directly Provided Activities</w:t>
      </w:r>
    </w:p>
    <w:p w:rsidR="00122BE2" w:rsidRDefault="00122BE2" w:rsidP="005968FF">
      <w:pPr>
        <w:rPr>
          <w:rFonts w:cstheme="minorHAnsi"/>
          <w:iCs/>
          <w:sz w:val="24"/>
          <w:szCs w:val="24"/>
        </w:rPr>
      </w:pPr>
      <w:r w:rsidRPr="008C55DC">
        <w:rPr>
          <w:rFonts w:cstheme="minorHAnsi"/>
          <w:b/>
          <w:iCs/>
          <w:sz w:val="24"/>
          <w:szCs w:val="24"/>
        </w:rPr>
        <w:t>Instructions:</w:t>
      </w:r>
      <w:r>
        <w:rPr>
          <w:rFonts w:cstheme="minorHAnsi"/>
          <w:iCs/>
          <w:sz w:val="24"/>
          <w:szCs w:val="24"/>
        </w:rPr>
        <w:t xml:space="preserve">  The Joint Accreditation Statement AND Logo must be included on any promotional or marketing materials</w:t>
      </w:r>
      <w:r w:rsidR="00FF6291">
        <w:rPr>
          <w:rFonts w:cstheme="minorHAnsi"/>
          <w:iCs/>
          <w:sz w:val="24"/>
          <w:szCs w:val="24"/>
        </w:rPr>
        <w:t xml:space="preserve">.  </w:t>
      </w:r>
      <w:r>
        <w:rPr>
          <w:rFonts w:cstheme="minorHAnsi"/>
          <w:iCs/>
          <w:sz w:val="24"/>
          <w:szCs w:val="24"/>
        </w:rPr>
        <w:t xml:space="preserve"> </w:t>
      </w:r>
      <w:r w:rsidR="00FF6291">
        <w:rPr>
          <w:rFonts w:cstheme="minorHAnsi"/>
          <w:iCs/>
          <w:sz w:val="24"/>
          <w:szCs w:val="24"/>
        </w:rPr>
        <w:t>The logo should be placed to the left of the statement.  All promotional or marketing materials</w:t>
      </w:r>
      <w:r>
        <w:rPr>
          <w:rFonts w:cstheme="minorHAnsi"/>
          <w:iCs/>
          <w:sz w:val="24"/>
          <w:szCs w:val="24"/>
        </w:rPr>
        <w:t xml:space="preserve"> must be approved by Piedmont Continuing Education PRIOR TO printing, publication, or distribution.</w:t>
      </w:r>
      <w:r w:rsidR="0016541F">
        <w:rPr>
          <w:rFonts w:cstheme="minorHAnsi"/>
          <w:iCs/>
          <w:sz w:val="24"/>
          <w:szCs w:val="24"/>
        </w:rPr>
        <w:t xml:space="preserve">  </w:t>
      </w:r>
    </w:p>
    <w:p w:rsidR="00122BE2" w:rsidRDefault="00122BE2" w:rsidP="005968FF">
      <w:pPr>
        <w:rPr>
          <w:rFonts w:cstheme="minorHAnsi"/>
          <w:iCs/>
          <w:sz w:val="24"/>
          <w:szCs w:val="24"/>
        </w:rPr>
      </w:pPr>
      <w:r>
        <w:rPr>
          <w:rFonts w:cstheme="minorHAnsi"/>
          <w:iCs/>
          <w:sz w:val="24"/>
          <w:szCs w:val="24"/>
        </w:rPr>
        <w:t xml:space="preserve">Replace the </w:t>
      </w:r>
      <w:r w:rsidRPr="00122BE2">
        <w:rPr>
          <w:rFonts w:cstheme="minorHAnsi"/>
          <w:b/>
          <w:iCs/>
          <w:color w:val="FF0000"/>
          <w:sz w:val="24"/>
          <w:szCs w:val="24"/>
        </w:rPr>
        <w:t>XX</w:t>
      </w:r>
      <w:r>
        <w:rPr>
          <w:rFonts w:cstheme="minorHAnsi"/>
          <w:iCs/>
          <w:sz w:val="24"/>
          <w:szCs w:val="24"/>
        </w:rPr>
        <w:t xml:space="preserve"> for the number of credits for each of the professions in the target audience and </w:t>
      </w:r>
      <w:r w:rsidRPr="00FF6291">
        <w:rPr>
          <w:rFonts w:cstheme="minorHAnsi"/>
          <w:iCs/>
          <w:color w:val="C00000"/>
          <w:sz w:val="24"/>
          <w:szCs w:val="24"/>
        </w:rPr>
        <w:t>remove</w:t>
      </w:r>
      <w:r>
        <w:rPr>
          <w:rFonts w:cstheme="minorHAnsi"/>
          <w:iCs/>
          <w:sz w:val="24"/>
          <w:szCs w:val="24"/>
        </w:rPr>
        <w:t xml:space="preserve"> the professions not applicable for your activity.</w:t>
      </w:r>
      <w:r w:rsidR="00FF6291">
        <w:rPr>
          <w:rFonts w:cstheme="minorHAnsi"/>
          <w:iCs/>
          <w:sz w:val="24"/>
          <w:szCs w:val="24"/>
        </w:rPr>
        <w:t xml:space="preserve">  NOTE:  For activities of 1.0 credit or less, please remove the “s” from the word credits, i.e. 0.5 ANCC Credit.</w:t>
      </w:r>
    </w:p>
    <w:p w:rsidR="00122BE2" w:rsidRPr="00122BE2" w:rsidRDefault="00122BE2" w:rsidP="00122BE2">
      <w:pPr>
        <w:pStyle w:val="xmsonormal"/>
        <w:numPr>
          <w:ilvl w:val="0"/>
          <w:numId w:val="1"/>
        </w:numPr>
        <w:autoSpaceDE w:val="0"/>
        <w:autoSpaceDN w:val="0"/>
        <w:rPr>
          <w:iCs/>
          <w:spacing w:val="-3"/>
        </w:rPr>
      </w:pPr>
      <w:bookmarkStart w:id="1" w:name="_Hlk175297539"/>
      <w:r w:rsidRPr="00800602">
        <w:rPr>
          <w:i/>
          <w:iCs/>
          <w:spacing w:val="-3"/>
        </w:rPr>
        <w:t xml:space="preserve">AMA PRA Category 1 </w:t>
      </w:r>
      <w:proofErr w:type="spellStart"/>
      <w:r w:rsidRPr="00800602">
        <w:rPr>
          <w:i/>
          <w:iCs/>
          <w:spacing w:val="-3"/>
        </w:rPr>
        <w:t>Credit</w:t>
      </w:r>
      <w:r w:rsidRPr="00800602">
        <w:rPr>
          <w:i/>
          <w:iCs/>
          <w:spacing w:val="-3"/>
          <w:vertAlign w:val="superscript"/>
        </w:rPr>
        <w:t>TM</w:t>
      </w:r>
      <w:proofErr w:type="spellEnd"/>
      <w:r w:rsidRPr="00122BE2">
        <w:rPr>
          <w:iCs/>
          <w:spacing w:val="-3"/>
          <w:vertAlign w:val="superscript"/>
        </w:rPr>
        <w:t xml:space="preserve"> </w:t>
      </w:r>
      <w:r w:rsidRPr="00122BE2">
        <w:rPr>
          <w:iCs/>
          <w:spacing w:val="-3"/>
        </w:rPr>
        <w:t xml:space="preserve">for physicians </w:t>
      </w:r>
    </w:p>
    <w:p w:rsidR="00122BE2" w:rsidRPr="00122BE2" w:rsidRDefault="00122BE2" w:rsidP="00122BE2">
      <w:pPr>
        <w:pStyle w:val="xmsonormal"/>
        <w:numPr>
          <w:ilvl w:val="0"/>
          <w:numId w:val="1"/>
        </w:numPr>
        <w:autoSpaceDE w:val="0"/>
        <w:autoSpaceDN w:val="0"/>
        <w:rPr>
          <w:iCs/>
          <w:spacing w:val="-3"/>
        </w:rPr>
      </w:pPr>
      <w:r w:rsidRPr="00122BE2">
        <w:rPr>
          <w:iCs/>
          <w:spacing w:val="-3"/>
        </w:rPr>
        <w:t xml:space="preserve">ANCC credit for nurses </w:t>
      </w:r>
    </w:p>
    <w:p w:rsidR="00122BE2" w:rsidRPr="00122BE2" w:rsidRDefault="00122BE2" w:rsidP="00122BE2">
      <w:pPr>
        <w:pStyle w:val="xmsonormal"/>
        <w:numPr>
          <w:ilvl w:val="0"/>
          <w:numId w:val="1"/>
        </w:numPr>
        <w:autoSpaceDE w:val="0"/>
        <w:autoSpaceDN w:val="0"/>
        <w:rPr>
          <w:iCs/>
          <w:spacing w:val="-3"/>
        </w:rPr>
      </w:pPr>
      <w:r w:rsidRPr="00122BE2">
        <w:rPr>
          <w:iCs/>
          <w:spacing w:val="-3"/>
        </w:rPr>
        <w:t xml:space="preserve">ACPE credit for pharmacists </w:t>
      </w:r>
    </w:p>
    <w:p w:rsidR="00122BE2" w:rsidRPr="00122BE2" w:rsidRDefault="00122BE2" w:rsidP="00122BE2">
      <w:pPr>
        <w:pStyle w:val="xmsonormal"/>
        <w:numPr>
          <w:ilvl w:val="0"/>
          <w:numId w:val="1"/>
        </w:numPr>
        <w:autoSpaceDE w:val="0"/>
        <w:autoSpaceDN w:val="0"/>
        <w:rPr>
          <w:iCs/>
          <w:spacing w:val="-3"/>
        </w:rPr>
      </w:pPr>
      <w:r w:rsidRPr="00122BE2">
        <w:rPr>
          <w:iCs/>
          <w:spacing w:val="-3"/>
        </w:rPr>
        <w:t xml:space="preserve">AAPA Category 1 Credit for PAs </w:t>
      </w:r>
    </w:p>
    <w:p w:rsidR="00122BE2" w:rsidRPr="00122BE2" w:rsidRDefault="00122BE2" w:rsidP="00122BE2">
      <w:pPr>
        <w:pStyle w:val="xmsonormal"/>
        <w:numPr>
          <w:ilvl w:val="0"/>
          <w:numId w:val="1"/>
        </w:numPr>
        <w:autoSpaceDE w:val="0"/>
        <w:autoSpaceDN w:val="0"/>
        <w:rPr>
          <w:iCs/>
          <w:spacing w:val="-3"/>
        </w:rPr>
      </w:pPr>
      <w:r w:rsidRPr="00122BE2">
        <w:rPr>
          <w:iCs/>
          <w:spacing w:val="-3"/>
        </w:rPr>
        <w:t xml:space="preserve">APA credit for psychologists </w:t>
      </w:r>
    </w:p>
    <w:p w:rsidR="00122BE2" w:rsidRPr="00122BE2" w:rsidRDefault="00122BE2" w:rsidP="00122BE2">
      <w:pPr>
        <w:pStyle w:val="xmsonormal"/>
        <w:numPr>
          <w:ilvl w:val="0"/>
          <w:numId w:val="1"/>
        </w:numPr>
        <w:autoSpaceDE w:val="0"/>
        <w:autoSpaceDN w:val="0"/>
        <w:rPr>
          <w:iCs/>
          <w:spacing w:val="-3"/>
        </w:rPr>
      </w:pPr>
      <w:r w:rsidRPr="00122BE2">
        <w:rPr>
          <w:iCs/>
          <w:spacing w:val="-3"/>
        </w:rPr>
        <w:t>ASWB ACE credit for social work</w:t>
      </w:r>
      <w:r w:rsidR="002F7F49">
        <w:rPr>
          <w:iCs/>
          <w:spacing w:val="-3"/>
        </w:rPr>
        <w:t>ers</w:t>
      </w:r>
      <w:r w:rsidRPr="00122BE2">
        <w:rPr>
          <w:iCs/>
          <w:spacing w:val="-3"/>
        </w:rPr>
        <w:t xml:space="preserve"> </w:t>
      </w:r>
    </w:p>
    <w:p w:rsidR="00122BE2" w:rsidRPr="00122BE2" w:rsidRDefault="00122BE2" w:rsidP="00122BE2">
      <w:pPr>
        <w:pStyle w:val="xmsonormal"/>
        <w:numPr>
          <w:ilvl w:val="0"/>
          <w:numId w:val="1"/>
        </w:numPr>
        <w:autoSpaceDE w:val="0"/>
        <w:autoSpaceDN w:val="0"/>
        <w:rPr>
          <w:iCs/>
          <w:spacing w:val="-3"/>
        </w:rPr>
      </w:pPr>
      <w:r w:rsidRPr="00122BE2">
        <w:rPr>
          <w:iCs/>
          <w:spacing w:val="-3"/>
        </w:rPr>
        <w:t xml:space="preserve">BOC credit for athletic trainers </w:t>
      </w:r>
    </w:p>
    <w:p w:rsidR="00122BE2" w:rsidRPr="00122BE2" w:rsidRDefault="00122BE2" w:rsidP="00122BE2">
      <w:pPr>
        <w:pStyle w:val="xmsonormal"/>
        <w:numPr>
          <w:ilvl w:val="0"/>
          <w:numId w:val="1"/>
        </w:numPr>
        <w:autoSpaceDE w:val="0"/>
        <w:autoSpaceDN w:val="0"/>
        <w:rPr>
          <w:iCs/>
          <w:spacing w:val="-3"/>
        </w:rPr>
      </w:pPr>
      <w:r w:rsidRPr="00122BE2">
        <w:rPr>
          <w:iCs/>
          <w:spacing w:val="-3"/>
        </w:rPr>
        <w:t>CPEU CDR credit for dietitians</w:t>
      </w:r>
    </w:p>
    <w:p w:rsidR="00122BE2" w:rsidRDefault="00122BE2" w:rsidP="00122BE2">
      <w:pPr>
        <w:pStyle w:val="xmsonormal"/>
        <w:numPr>
          <w:ilvl w:val="0"/>
          <w:numId w:val="1"/>
        </w:numPr>
        <w:autoSpaceDE w:val="0"/>
        <w:autoSpaceDN w:val="0"/>
        <w:rPr>
          <w:iCs/>
          <w:spacing w:val="-3"/>
        </w:rPr>
      </w:pPr>
      <w:r w:rsidRPr="00122BE2">
        <w:rPr>
          <w:iCs/>
          <w:spacing w:val="-3"/>
        </w:rPr>
        <w:t>IPCE credit (</w:t>
      </w:r>
      <w:r w:rsidR="00800602">
        <w:rPr>
          <w:iCs/>
          <w:spacing w:val="-3"/>
        </w:rPr>
        <w:t>I</w:t>
      </w:r>
      <w:r w:rsidRPr="00122BE2">
        <w:rPr>
          <w:iCs/>
          <w:spacing w:val="-3"/>
        </w:rPr>
        <w:t xml:space="preserve">f the activity is planned by and for the health care team, you may add IPCE credit to the activity.)  </w:t>
      </w:r>
    </w:p>
    <w:bookmarkEnd w:id="1"/>
    <w:p w:rsidR="00800602" w:rsidRDefault="00800602" w:rsidP="00800602">
      <w:pPr>
        <w:pStyle w:val="xmsonormal"/>
        <w:autoSpaceDE w:val="0"/>
        <w:autoSpaceDN w:val="0"/>
        <w:ind w:left="720"/>
        <w:rPr>
          <w:iCs/>
          <w:spacing w:val="-3"/>
        </w:rPr>
      </w:pPr>
    </w:p>
    <w:p w:rsidR="00800602" w:rsidRDefault="00800602" w:rsidP="00800602">
      <w:pPr>
        <w:pStyle w:val="xmsonormal"/>
        <w:autoSpaceDE w:val="0"/>
        <w:autoSpaceDN w:val="0"/>
        <w:rPr>
          <w:iCs/>
          <w:spacing w:val="-3"/>
        </w:rPr>
      </w:pPr>
      <w:r>
        <w:rPr>
          <w:iCs/>
          <w:spacing w:val="-3"/>
        </w:rPr>
        <w:t>NOTE:  The table is used for illustration purposes only.  Actual accreditation statements do not require placement in a table.</w:t>
      </w:r>
    </w:p>
    <w:p w:rsidR="00A463F2" w:rsidRDefault="00A463F2" w:rsidP="00800602">
      <w:pPr>
        <w:pStyle w:val="xmsonormal"/>
        <w:autoSpaceDE w:val="0"/>
        <w:autoSpaceDN w:val="0"/>
        <w:rPr>
          <w:iCs/>
          <w:spacing w:val="-3"/>
        </w:rPr>
      </w:pPr>
    </w:p>
    <w:p w:rsidR="00A463F2" w:rsidRPr="00122BE2" w:rsidRDefault="00A463F2" w:rsidP="00800602">
      <w:pPr>
        <w:pStyle w:val="xmsonormal"/>
        <w:autoSpaceDE w:val="0"/>
        <w:autoSpaceDN w:val="0"/>
        <w:rPr>
          <w:iCs/>
          <w:spacing w:val="-3"/>
        </w:rPr>
      </w:pPr>
      <w:r>
        <w:rPr>
          <w:iCs/>
          <w:spacing w:val="-3"/>
        </w:rPr>
        <w:t xml:space="preserve">For questions, clarification or review, please reach out to </w:t>
      </w:r>
      <w:hyperlink r:id="rId8" w:history="1">
        <w:r w:rsidRPr="00E92733">
          <w:rPr>
            <w:rStyle w:val="Hyperlink"/>
            <w:iCs/>
            <w:spacing w:val="-3"/>
          </w:rPr>
          <w:t>CE.info@piedmont.org</w:t>
        </w:r>
      </w:hyperlink>
      <w:r>
        <w:rPr>
          <w:iCs/>
          <w:spacing w:val="-3"/>
        </w:rPr>
        <w:t xml:space="preserve"> </w:t>
      </w:r>
    </w:p>
    <w:p w:rsidR="005968FF" w:rsidRDefault="005968FF" w:rsidP="00C9005D">
      <w:pPr>
        <w:pStyle w:val="xxxmsonormal"/>
        <w:rPr>
          <w:rFonts w:ascii="Aptos" w:hAnsi="Aptos"/>
          <w:i/>
          <w:iCs/>
          <w:sz w:val="24"/>
          <w:szCs w:val="24"/>
        </w:rPr>
      </w:pPr>
    </w:p>
    <w:tbl>
      <w:tblPr>
        <w:tblStyle w:val="TableGrid"/>
        <w:tblW w:w="0" w:type="auto"/>
        <w:tblLook w:val="04A0" w:firstRow="1" w:lastRow="0" w:firstColumn="1" w:lastColumn="0" w:noHBand="0" w:noVBand="1"/>
      </w:tblPr>
      <w:tblGrid>
        <w:gridCol w:w="3261"/>
        <w:gridCol w:w="6089"/>
      </w:tblGrid>
      <w:tr w:rsidR="005968FF" w:rsidTr="005968FF">
        <w:tc>
          <w:tcPr>
            <w:tcW w:w="2335" w:type="dxa"/>
          </w:tcPr>
          <w:p w:rsidR="005968FF" w:rsidRDefault="005968FF" w:rsidP="00C9005D">
            <w:pPr>
              <w:pStyle w:val="xxxmsonormal"/>
              <w:rPr>
                <w:rFonts w:ascii="Aptos" w:hAnsi="Aptos"/>
                <w:iCs/>
                <w:sz w:val="24"/>
                <w:szCs w:val="24"/>
              </w:rPr>
            </w:pPr>
          </w:p>
          <w:p w:rsidR="005968FF" w:rsidRDefault="005968FF" w:rsidP="00C9005D">
            <w:pPr>
              <w:pStyle w:val="xxxmsonormal"/>
              <w:rPr>
                <w:rFonts w:ascii="Aptos" w:hAnsi="Aptos"/>
                <w:iCs/>
                <w:sz w:val="24"/>
                <w:szCs w:val="24"/>
              </w:rPr>
            </w:pPr>
            <w:r>
              <w:rPr>
                <w:noProof/>
              </w:rPr>
              <w:drawing>
                <wp:inline distT="0" distB="0" distL="0" distR="0" wp14:anchorId="23DCBEC6" wp14:editId="668F7F07">
                  <wp:extent cx="1933575" cy="132838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intly_Accredited_Provider_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732" cy="1342232"/>
                          </a:xfrm>
                          <a:prstGeom prst="rect">
                            <a:avLst/>
                          </a:prstGeom>
                        </pic:spPr>
                      </pic:pic>
                    </a:graphicData>
                  </a:graphic>
                </wp:inline>
              </w:drawing>
            </w:r>
          </w:p>
          <w:p w:rsidR="005968FF" w:rsidRDefault="005968FF" w:rsidP="00C9005D">
            <w:pPr>
              <w:pStyle w:val="xxxmsonormal"/>
              <w:rPr>
                <w:rFonts w:ascii="Aptos" w:hAnsi="Aptos"/>
                <w:iCs/>
                <w:sz w:val="24"/>
                <w:szCs w:val="24"/>
              </w:rPr>
            </w:pPr>
          </w:p>
          <w:p w:rsidR="005968FF" w:rsidRPr="005968FF" w:rsidRDefault="005968FF" w:rsidP="00C9005D">
            <w:pPr>
              <w:pStyle w:val="xxxmsonormal"/>
              <w:rPr>
                <w:rFonts w:ascii="Aptos" w:hAnsi="Aptos"/>
                <w:iCs/>
                <w:sz w:val="24"/>
                <w:szCs w:val="24"/>
              </w:rPr>
            </w:pPr>
          </w:p>
        </w:tc>
        <w:tc>
          <w:tcPr>
            <w:tcW w:w="7015" w:type="dxa"/>
          </w:tcPr>
          <w:p w:rsidR="005968FF" w:rsidRPr="0016541F" w:rsidRDefault="00122BE2" w:rsidP="00C9005D">
            <w:pPr>
              <w:pStyle w:val="xxxmsonormal"/>
              <w:rPr>
                <w:rFonts w:asciiTheme="minorHAnsi" w:hAnsiTheme="minorHAnsi" w:cstheme="minorHAnsi"/>
              </w:rPr>
            </w:pPr>
            <w:r w:rsidRPr="0016541F">
              <w:rPr>
                <w:rFonts w:asciiTheme="minorHAnsi" w:hAnsiTheme="minorHAnsi" w:cstheme="minorHAnsi"/>
                <w:i/>
                <w:iCs/>
                <w:sz w:val="24"/>
                <w:szCs w:val="24"/>
              </w:rPr>
              <w:t xml:space="preserve">In support of improving patient care, Piedmont Healthcare is jointly accredited by the Accreditation Council for Continuing Medical Education (ACCME), the Accreditation Council for Pharmacy Education (ACPE), and the American Nurses Credentialing Center (ANCC) to provide continuing education for the healthcare team.   This activity offers </w:t>
            </w:r>
            <w:r w:rsidRPr="0016541F">
              <w:rPr>
                <w:rFonts w:asciiTheme="minorHAnsi" w:hAnsiTheme="minorHAnsi" w:cstheme="minorHAnsi"/>
                <w:b/>
                <w:i/>
                <w:iCs/>
                <w:color w:val="FF0000"/>
                <w:sz w:val="24"/>
                <w:szCs w:val="24"/>
              </w:rPr>
              <w:t>XX</w:t>
            </w:r>
            <w:r w:rsidRPr="0016541F">
              <w:rPr>
                <w:rFonts w:asciiTheme="minorHAnsi" w:hAnsiTheme="minorHAnsi" w:cstheme="minorHAnsi"/>
                <w:i/>
                <w:iCs/>
                <w:sz w:val="24"/>
                <w:szCs w:val="24"/>
              </w:rPr>
              <w:t xml:space="preserve"> AMA PRA Category 1 Credit</w:t>
            </w:r>
            <w:r w:rsidR="003C75B3">
              <w:rPr>
                <w:rFonts w:asciiTheme="minorHAnsi" w:hAnsiTheme="minorHAnsi" w:cstheme="minorHAnsi"/>
                <w:i/>
                <w:iCs/>
                <w:sz w:val="24"/>
                <w:szCs w:val="24"/>
              </w:rPr>
              <w:t>(</w:t>
            </w:r>
            <w:r w:rsidRPr="0016541F">
              <w:rPr>
                <w:rFonts w:asciiTheme="minorHAnsi" w:hAnsiTheme="minorHAnsi" w:cstheme="minorHAnsi"/>
                <w:i/>
                <w:iCs/>
                <w:sz w:val="24"/>
                <w:szCs w:val="24"/>
              </w:rPr>
              <w:t>s</w:t>
            </w:r>
            <w:r w:rsidR="003C75B3">
              <w:rPr>
                <w:rFonts w:asciiTheme="minorHAnsi" w:hAnsiTheme="minorHAnsi" w:cstheme="minorHAnsi"/>
                <w:i/>
                <w:iCs/>
                <w:sz w:val="24"/>
                <w:szCs w:val="24"/>
              </w:rPr>
              <w:t>)</w:t>
            </w:r>
            <w:r w:rsidRPr="0016541F">
              <w:rPr>
                <w:rFonts w:asciiTheme="minorHAnsi" w:hAnsiTheme="minorHAnsi" w:cstheme="minorHAnsi"/>
                <w:i/>
                <w:iCs/>
                <w:sz w:val="24"/>
                <w:szCs w:val="24"/>
                <w:vertAlign w:val="superscript"/>
              </w:rPr>
              <w:t>TM</w:t>
            </w:r>
            <w:r w:rsidRPr="0016541F">
              <w:rPr>
                <w:rFonts w:asciiTheme="minorHAnsi" w:hAnsiTheme="minorHAnsi" w:cstheme="minorHAnsi"/>
                <w:i/>
                <w:iCs/>
                <w:sz w:val="24"/>
                <w:szCs w:val="24"/>
              </w:rPr>
              <w:t xml:space="preserve">, </w:t>
            </w:r>
            <w:r w:rsidRPr="0016541F">
              <w:rPr>
                <w:rFonts w:asciiTheme="minorHAnsi" w:hAnsiTheme="minorHAnsi" w:cstheme="minorHAnsi"/>
                <w:b/>
                <w:i/>
                <w:iCs/>
                <w:color w:val="FF0000"/>
                <w:sz w:val="24"/>
                <w:szCs w:val="24"/>
              </w:rPr>
              <w:t>XX</w:t>
            </w:r>
            <w:r w:rsidRPr="0016541F">
              <w:rPr>
                <w:rFonts w:asciiTheme="minorHAnsi" w:hAnsiTheme="minorHAnsi" w:cstheme="minorHAnsi"/>
                <w:i/>
                <w:iCs/>
                <w:sz w:val="24"/>
                <w:szCs w:val="24"/>
              </w:rPr>
              <w:t xml:space="preserve"> ANCC Credits, </w:t>
            </w:r>
            <w:r w:rsidRPr="0016541F">
              <w:rPr>
                <w:rFonts w:asciiTheme="minorHAnsi" w:hAnsiTheme="minorHAnsi" w:cstheme="minorHAnsi"/>
                <w:b/>
                <w:i/>
                <w:iCs/>
                <w:color w:val="FF0000"/>
                <w:sz w:val="24"/>
                <w:szCs w:val="24"/>
              </w:rPr>
              <w:t>XX</w:t>
            </w:r>
            <w:r w:rsidRPr="0016541F">
              <w:rPr>
                <w:rFonts w:asciiTheme="minorHAnsi" w:hAnsiTheme="minorHAnsi" w:cstheme="minorHAnsi"/>
                <w:i/>
                <w:iCs/>
                <w:sz w:val="24"/>
                <w:szCs w:val="24"/>
              </w:rPr>
              <w:t xml:space="preserve"> ACPE Credits, </w:t>
            </w:r>
            <w:r w:rsidRPr="0016541F">
              <w:rPr>
                <w:rFonts w:asciiTheme="minorHAnsi" w:hAnsiTheme="minorHAnsi" w:cstheme="minorHAnsi"/>
                <w:b/>
                <w:i/>
                <w:iCs/>
                <w:color w:val="FF0000"/>
                <w:sz w:val="24"/>
                <w:szCs w:val="24"/>
              </w:rPr>
              <w:t>XX</w:t>
            </w:r>
            <w:r w:rsidRPr="0016541F">
              <w:rPr>
                <w:rFonts w:asciiTheme="minorHAnsi" w:hAnsiTheme="minorHAnsi" w:cstheme="minorHAnsi"/>
                <w:i/>
                <w:iCs/>
                <w:sz w:val="24"/>
                <w:szCs w:val="24"/>
              </w:rPr>
              <w:t xml:space="preserve"> AAPA Category 1 Credits, </w:t>
            </w:r>
            <w:r w:rsidRPr="0016541F">
              <w:rPr>
                <w:rFonts w:asciiTheme="minorHAnsi" w:hAnsiTheme="minorHAnsi" w:cstheme="minorHAnsi"/>
                <w:b/>
                <w:i/>
                <w:iCs/>
                <w:color w:val="FF0000"/>
                <w:sz w:val="24"/>
                <w:szCs w:val="24"/>
              </w:rPr>
              <w:t>XX</w:t>
            </w:r>
            <w:r w:rsidRPr="0016541F">
              <w:rPr>
                <w:rFonts w:asciiTheme="minorHAnsi" w:hAnsiTheme="minorHAnsi" w:cstheme="minorHAnsi"/>
                <w:i/>
                <w:iCs/>
                <w:sz w:val="24"/>
                <w:szCs w:val="24"/>
              </w:rPr>
              <w:t xml:space="preserve"> APA </w:t>
            </w:r>
            <w:r w:rsidR="00FF6291">
              <w:rPr>
                <w:rFonts w:asciiTheme="minorHAnsi" w:hAnsiTheme="minorHAnsi" w:cstheme="minorHAnsi"/>
                <w:i/>
                <w:iCs/>
                <w:sz w:val="24"/>
                <w:szCs w:val="24"/>
              </w:rPr>
              <w:t>C</w:t>
            </w:r>
            <w:r w:rsidRPr="0016541F">
              <w:rPr>
                <w:rFonts w:asciiTheme="minorHAnsi" w:hAnsiTheme="minorHAnsi" w:cstheme="minorHAnsi"/>
                <w:i/>
                <w:iCs/>
                <w:sz w:val="24"/>
                <w:szCs w:val="24"/>
              </w:rPr>
              <w:t xml:space="preserve">redits, </w:t>
            </w:r>
            <w:r w:rsidRPr="0016541F">
              <w:rPr>
                <w:rFonts w:asciiTheme="minorHAnsi" w:hAnsiTheme="minorHAnsi" w:cstheme="minorHAnsi"/>
                <w:b/>
                <w:i/>
                <w:iCs/>
                <w:color w:val="FF0000"/>
                <w:sz w:val="24"/>
                <w:szCs w:val="24"/>
              </w:rPr>
              <w:t>XX</w:t>
            </w:r>
            <w:r w:rsidRPr="0016541F">
              <w:rPr>
                <w:rFonts w:asciiTheme="minorHAnsi" w:hAnsiTheme="minorHAnsi" w:cstheme="minorHAnsi"/>
                <w:i/>
                <w:iCs/>
                <w:sz w:val="24"/>
                <w:szCs w:val="24"/>
              </w:rPr>
              <w:t xml:space="preserve"> ASWB ACE </w:t>
            </w:r>
            <w:r w:rsidR="00FF6291">
              <w:rPr>
                <w:rFonts w:asciiTheme="minorHAnsi" w:hAnsiTheme="minorHAnsi" w:cstheme="minorHAnsi"/>
                <w:i/>
                <w:iCs/>
                <w:sz w:val="24"/>
                <w:szCs w:val="24"/>
              </w:rPr>
              <w:t>C</w:t>
            </w:r>
            <w:r w:rsidRPr="0016541F">
              <w:rPr>
                <w:rFonts w:asciiTheme="minorHAnsi" w:hAnsiTheme="minorHAnsi" w:cstheme="minorHAnsi"/>
                <w:i/>
                <w:iCs/>
                <w:sz w:val="24"/>
                <w:szCs w:val="24"/>
              </w:rPr>
              <w:t xml:space="preserve">redits, </w:t>
            </w:r>
            <w:r w:rsidRPr="0016541F">
              <w:rPr>
                <w:rFonts w:asciiTheme="minorHAnsi" w:hAnsiTheme="minorHAnsi" w:cstheme="minorHAnsi"/>
                <w:b/>
                <w:i/>
                <w:iCs/>
                <w:color w:val="FF0000"/>
                <w:sz w:val="24"/>
                <w:szCs w:val="24"/>
              </w:rPr>
              <w:t>XX</w:t>
            </w:r>
            <w:r w:rsidRPr="0016541F">
              <w:rPr>
                <w:rFonts w:asciiTheme="minorHAnsi" w:hAnsiTheme="minorHAnsi" w:cstheme="minorHAnsi"/>
                <w:i/>
                <w:iCs/>
                <w:sz w:val="24"/>
                <w:szCs w:val="24"/>
              </w:rPr>
              <w:t xml:space="preserve"> BOC Credits, </w:t>
            </w:r>
            <w:r w:rsidRPr="0016541F">
              <w:rPr>
                <w:rFonts w:asciiTheme="minorHAnsi" w:hAnsiTheme="minorHAnsi" w:cstheme="minorHAnsi"/>
                <w:b/>
                <w:i/>
                <w:iCs/>
                <w:color w:val="FF0000"/>
                <w:sz w:val="24"/>
                <w:szCs w:val="24"/>
              </w:rPr>
              <w:t>XX</w:t>
            </w:r>
            <w:r w:rsidRPr="0016541F">
              <w:rPr>
                <w:rFonts w:asciiTheme="minorHAnsi" w:hAnsiTheme="minorHAnsi" w:cstheme="minorHAnsi"/>
                <w:i/>
                <w:iCs/>
                <w:sz w:val="24"/>
                <w:szCs w:val="24"/>
              </w:rPr>
              <w:t xml:space="preserve"> CDR CPEUs, and </w:t>
            </w:r>
            <w:r w:rsidRPr="0016541F">
              <w:rPr>
                <w:rFonts w:asciiTheme="minorHAnsi" w:hAnsiTheme="minorHAnsi" w:cstheme="minorHAnsi"/>
                <w:b/>
                <w:i/>
                <w:iCs/>
                <w:color w:val="FF0000"/>
                <w:sz w:val="24"/>
                <w:szCs w:val="24"/>
              </w:rPr>
              <w:t>XX</w:t>
            </w:r>
            <w:r w:rsidRPr="0016541F">
              <w:rPr>
                <w:rFonts w:asciiTheme="minorHAnsi" w:hAnsiTheme="minorHAnsi" w:cstheme="minorHAnsi"/>
                <w:i/>
                <w:iCs/>
                <w:sz w:val="24"/>
                <w:szCs w:val="24"/>
              </w:rPr>
              <w:t xml:space="preserve"> IPCE </w:t>
            </w:r>
            <w:r w:rsidR="00FF6291">
              <w:rPr>
                <w:rFonts w:asciiTheme="minorHAnsi" w:hAnsiTheme="minorHAnsi" w:cstheme="minorHAnsi"/>
                <w:i/>
                <w:iCs/>
                <w:sz w:val="24"/>
                <w:szCs w:val="24"/>
              </w:rPr>
              <w:t>C</w:t>
            </w:r>
            <w:r w:rsidRPr="0016541F">
              <w:rPr>
                <w:rFonts w:asciiTheme="minorHAnsi" w:hAnsiTheme="minorHAnsi" w:cstheme="minorHAnsi"/>
                <w:i/>
                <w:iCs/>
                <w:sz w:val="24"/>
                <w:szCs w:val="24"/>
              </w:rPr>
              <w:t>redits.</w:t>
            </w:r>
          </w:p>
        </w:tc>
      </w:tr>
      <w:tr w:rsidR="005968FF" w:rsidTr="005968FF">
        <w:tc>
          <w:tcPr>
            <w:tcW w:w="2335" w:type="dxa"/>
          </w:tcPr>
          <w:p w:rsidR="005968FF" w:rsidRDefault="00122BE2" w:rsidP="00800602">
            <w:pPr>
              <w:pStyle w:val="xxxmsonormal"/>
              <w:jc w:val="center"/>
              <w:rPr>
                <w:rFonts w:ascii="Aptos" w:hAnsi="Aptos"/>
                <w:i/>
                <w:iCs/>
                <w:sz w:val="24"/>
                <w:szCs w:val="24"/>
              </w:rPr>
            </w:pPr>
            <w:r>
              <w:rPr>
                <w:noProof/>
              </w:rPr>
              <w:drawing>
                <wp:inline distT="0" distB="0" distL="0" distR="0" wp14:anchorId="4C069CC4" wp14:editId="34B8F7B3">
                  <wp:extent cx="942975" cy="6735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CE_Credit_JPE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9251" cy="685180"/>
                          </a:xfrm>
                          <a:prstGeom prst="rect">
                            <a:avLst/>
                          </a:prstGeom>
                        </pic:spPr>
                      </pic:pic>
                    </a:graphicData>
                  </a:graphic>
                </wp:inline>
              </w:drawing>
            </w:r>
          </w:p>
        </w:tc>
        <w:tc>
          <w:tcPr>
            <w:tcW w:w="7015" w:type="dxa"/>
          </w:tcPr>
          <w:p w:rsidR="00122BE2" w:rsidRPr="00122BE2" w:rsidRDefault="00122BE2" w:rsidP="00122BE2">
            <w:pPr>
              <w:rPr>
                <w:i/>
              </w:rPr>
            </w:pPr>
            <w:r w:rsidRPr="00122BE2">
              <w:rPr>
                <w:i/>
              </w:rPr>
              <w:t>This activity was planned by and for the healthcare team and learners will receive</w:t>
            </w:r>
            <w:r w:rsidRPr="00122BE2">
              <w:rPr>
                <w:b/>
                <w:i/>
                <w:color w:val="ED7D31" w:themeColor="accent2"/>
              </w:rPr>
              <w:t xml:space="preserve"> </w:t>
            </w:r>
            <w:r w:rsidRPr="00122BE2">
              <w:rPr>
                <w:b/>
                <w:i/>
                <w:color w:val="FF0000"/>
              </w:rPr>
              <w:t>XX</w:t>
            </w:r>
            <w:r w:rsidRPr="00122BE2">
              <w:rPr>
                <w:i/>
                <w:color w:val="ED7D31" w:themeColor="accent2"/>
              </w:rPr>
              <w:t xml:space="preserve"> </w:t>
            </w:r>
            <w:r w:rsidRPr="00122BE2">
              <w:rPr>
                <w:i/>
              </w:rPr>
              <w:t xml:space="preserve">Interprofessional Continuing Education (IPCE) credits for learning and change. </w:t>
            </w:r>
          </w:p>
          <w:p w:rsidR="005968FF" w:rsidRDefault="005968FF" w:rsidP="00C9005D">
            <w:pPr>
              <w:pStyle w:val="xxxmsonormal"/>
              <w:rPr>
                <w:rFonts w:ascii="Aptos" w:hAnsi="Aptos"/>
                <w:i/>
                <w:iCs/>
                <w:sz w:val="24"/>
                <w:szCs w:val="24"/>
              </w:rPr>
            </w:pPr>
          </w:p>
        </w:tc>
      </w:tr>
    </w:tbl>
    <w:p w:rsidR="005968FF" w:rsidRDefault="005968FF" w:rsidP="00C9005D">
      <w:pPr>
        <w:pStyle w:val="xxxmsonormal"/>
        <w:rPr>
          <w:rFonts w:ascii="Aptos" w:hAnsi="Aptos"/>
          <w:i/>
          <w:iCs/>
          <w:sz w:val="24"/>
          <w:szCs w:val="24"/>
        </w:rPr>
      </w:pPr>
    </w:p>
    <w:p w:rsidR="005968FF" w:rsidRDefault="005968FF" w:rsidP="00C9005D">
      <w:pPr>
        <w:pStyle w:val="xxxmsonormal"/>
        <w:rPr>
          <w:rFonts w:ascii="Aptos" w:hAnsi="Aptos"/>
          <w:i/>
          <w:iCs/>
          <w:sz w:val="24"/>
          <w:szCs w:val="24"/>
        </w:rPr>
      </w:pPr>
    </w:p>
    <w:p w:rsidR="005968FF" w:rsidRDefault="005968FF" w:rsidP="00C9005D">
      <w:pPr>
        <w:pStyle w:val="xxxmsonormal"/>
        <w:rPr>
          <w:rFonts w:ascii="Aptos" w:hAnsi="Aptos"/>
          <w:iCs/>
          <w:sz w:val="24"/>
          <w:szCs w:val="24"/>
        </w:rPr>
      </w:pPr>
    </w:p>
    <w:tbl>
      <w:tblPr>
        <w:tblStyle w:val="TableGrid"/>
        <w:tblW w:w="0" w:type="auto"/>
        <w:tblLook w:val="04A0" w:firstRow="1" w:lastRow="0" w:firstColumn="1" w:lastColumn="0" w:noHBand="0" w:noVBand="1"/>
      </w:tblPr>
      <w:tblGrid>
        <w:gridCol w:w="3583"/>
        <w:gridCol w:w="5767"/>
      </w:tblGrid>
      <w:tr w:rsidR="00800602" w:rsidTr="002F55F1">
        <w:tc>
          <w:tcPr>
            <w:tcW w:w="10790" w:type="dxa"/>
            <w:gridSpan w:val="2"/>
            <w:shd w:val="clear" w:color="auto" w:fill="ED7D31" w:themeFill="accent2"/>
          </w:tcPr>
          <w:p w:rsidR="00800602" w:rsidRDefault="00800602" w:rsidP="002F55F1">
            <w:pPr>
              <w:rPr>
                <w:b/>
                <w:sz w:val="32"/>
              </w:rPr>
            </w:pPr>
            <w:r>
              <w:rPr>
                <w:b/>
                <w:sz w:val="32"/>
              </w:rPr>
              <w:t>MOC Credit Designation Statements</w:t>
            </w:r>
          </w:p>
          <w:p w:rsidR="003B399E" w:rsidRDefault="003B399E" w:rsidP="002F55F1">
            <w:r>
              <w:t>For those activities also accredited for Maintenance of Certification credit, the following credit designation statements and logos are used.</w:t>
            </w:r>
            <w:r w:rsidR="00A463F2">
              <w:t xml:space="preserve">  Note in the ABIM statement the area to insert the number of MOC points.   MOC credit is </w:t>
            </w:r>
            <w:r w:rsidR="00A463F2" w:rsidRPr="00A404D8">
              <w:rPr>
                <w:b/>
                <w:u w:val="single"/>
              </w:rPr>
              <w:t>NOT</w:t>
            </w:r>
            <w:r w:rsidR="00A463F2">
              <w:t xml:space="preserve"> automatic!  There are additional requirements in order for an activity to be accredited for MOC credit.  Contact</w:t>
            </w:r>
            <w:r w:rsidR="00F90DED">
              <w:t xml:space="preserve"> </w:t>
            </w:r>
            <w:r w:rsidR="00A463F2">
              <w:t>Piedmont Continuing Education for additional information.</w:t>
            </w:r>
          </w:p>
        </w:tc>
      </w:tr>
      <w:tr w:rsidR="00800602" w:rsidRPr="000340C1" w:rsidTr="002F55F1">
        <w:tc>
          <w:tcPr>
            <w:tcW w:w="10790" w:type="dxa"/>
            <w:gridSpan w:val="2"/>
            <w:shd w:val="clear" w:color="auto" w:fill="FFF2CC" w:themeFill="accent4" w:themeFillTint="33"/>
          </w:tcPr>
          <w:p w:rsidR="00800602" w:rsidRPr="000340C1" w:rsidRDefault="00800602" w:rsidP="002F55F1">
            <w:pPr>
              <w:rPr>
                <w:b/>
              </w:rPr>
            </w:pPr>
            <w:r w:rsidRPr="000340C1">
              <w:rPr>
                <w:b/>
              </w:rPr>
              <w:t>American Board of Internal Medicine (ABIM) – Medical Knowledge or Practice Assessment</w:t>
            </w:r>
          </w:p>
        </w:tc>
      </w:tr>
      <w:tr w:rsidR="00800602" w:rsidTr="002F55F1">
        <w:tc>
          <w:tcPr>
            <w:tcW w:w="3618" w:type="dxa"/>
          </w:tcPr>
          <w:p w:rsidR="00800602" w:rsidRDefault="00800602" w:rsidP="002F55F1">
            <w:pPr>
              <w:rPr>
                <w:noProof/>
              </w:rPr>
            </w:pPr>
          </w:p>
          <w:p w:rsidR="00800602" w:rsidRDefault="00800602" w:rsidP="002F55F1">
            <w:r>
              <w:rPr>
                <w:noProof/>
              </w:rPr>
              <w:drawing>
                <wp:inline distT="0" distB="0" distL="0" distR="0" wp14:anchorId="2087BB54" wp14:editId="122A4AE8">
                  <wp:extent cx="2057400" cy="697802"/>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52599" cy="730090"/>
                          </a:xfrm>
                          <a:prstGeom prst="rect">
                            <a:avLst/>
                          </a:prstGeom>
                        </pic:spPr>
                      </pic:pic>
                    </a:graphicData>
                  </a:graphic>
                </wp:inline>
              </w:drawing>
            </w:r>
          </w:p>
        </w:tc>
        <w:tc>
          <w:tcPr>
            <w:tcW w:w="7172" w:type="dxa"/>
          </w:tcPr>
          <w:p w:rsidR="00800602" w:rsidRDefault="00800602" w:rsidP="002F55F1">
            <w:pPr>
              <w:pStyle w:val="Default"/>
              <w:rPr>
                <w:sz w:val="20"/>
                <w:szCs w:val="20"/>
              </w:rPr>
            </w:pPr>
            <w:r>
              <w:rPr>
                <w:sz w:val="20"/>
                <w:szCs w:val="20"/>
              </w:rPr>
              <w:t>Successful completion of this CME activity, which includes participation in the evaluation component, enables the participant to earn up to</w:t>
            </w:r>
            <w:r w:rsidRPr="00FF6291">
              <w:rPr>
                <w:color w:val="C00000"/>
                <w:sz w:val="20"/>
                <w:szCs w:val="20"/>
              </w:rPr>
              <w:t xml:space="preserve"> </w:t>
            </w:r>
            <w:r w:rsidRPr="00FF6291">
              <w:rPr>
                <w:b/>
                <w:color w:val="C00000"/>
                <w:sz w:val="20"/>
                <w:szCs w:val="20"/>
              </w:rPr>
              <w:t>XX</w:t>
            </w:r>
            <w:r w:rsidRPr="00FF6291">
              <w:rPr>
                <w:color w:val="C00000"/>
                <w:sz w:val="20"/>
                <w:szCs w:val="20"/>
              </w:rPr>
              <w:t xml:space="preserve"> </w:t>
            </w:r>
            <w:r>
              <w:rPr>
                <w:sz w:val="20"/>
                <w:szCs w:val="20"/>
              </w:rPr>
              <w:t xml:space="preserve">MOC points in the American Board of Internal Medicine’s (ABIM) Maintenance of Certification (MOC) program. It is the CME activity provider’s responsibility to submit participant completion information to ACCME for the purpose of granting ABIM MOC credit. </w:t>
            </w:r>
          </w:p>
          <w:p w:rsidR="00800602" w:rsidRDefault="00800602" w:rsidP="002F55F1"/>
        </w:tc>
      </w:tr>
      <w:tr w:rsidR="00800602" w:rsidRPr="000340C1" w:rsidTr="002F55F1">
        <w:tc>
          <w:tcPr>
            <w:tcW w:w="10790" w:type="dxa"/>
            <w:gridSpan w:val="2"/>
            <w:shd w:val="clear" w:color="auto" w:fill="FFF2CC" w:themeFill="accent4" w:themeFillTint="33"/>
          </w:tcPr>
          <w:p w:rsidR="00800602" w:rsidRPr="000340C1" w:rsidRDefault="00800602" w:rsidP="002F55F1">
            <w:pPr>
              <w:rPr>
                <w:b/>
              </w:rPr>
            </w:pPr>
            <w:r w:rsidRPr="000340C1">
              <w:rPr>
                <w:b/>
              </w:rPr>
              <w:t>American Board of Internal Medicine (ABIM) –</w:t>
            </w:r>
            <w:r>
              <w:rPr>
                <w:b/>
              </w:rPr>
              <w:t>Patient Safety</w:t>
            </w:r>
          </w:p>
        </w:tc>
      </w:tr>
      <w:tr w:rsidR="00800602" w:rsidTr="002F55F1">
        <w:tc>
          <w:tcPr>
            <w:tcW w:w="3618" w:type="dxa"/>
          </w:tcPr>
          <w:p w:rsidR="00800602" w:rsidRDefault="00800602" w:rsidP="002F55F1">
            <w:pPr>
              <w:rPr>
                <w:noProof/>
              </w:rPr>
            </w:pPr>
          </w:p>
          <w:p w:rsidR="00800602" w:rsidRDefault="00800602" w:rsidP="002F55F1">
            <w:r>
              <w:rPr>
                <w:noProof/>
              </w:rPr>
              <w:drawing>
                <wp:inline distT="0" distB="0" distL="0" distR="0" wp14:anchorId="34E638A8" wp14:editId="7F185401">
                  <wp:extent cx="2066925" cy="701032"/>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24057" cy="720409"/>
                          </a:xfrm>
                          <a:prstGeom prst="rect">
                            <a:avLst/>
                          </a:prstGeom>
                        </pic:spPr>
                      </pic:pic>
                    </a:graphicData>
                  </a:graphic>
                </wp:inline>
              </w:drawing>
            </w:r>
          </w:p>
        </w:tc>
        <w:tc>
          <w:tcPr>
            <w:tcW w:w="7172" w:type="dxa"/>
          </w:tcPr>
          <w:p w:rsidR="00800602" w:rsidRDefault="00800602" w:rsidP="002F55F1">
            <w:pPr>
              <w:pStyle w:val="Default"/>
              <w:rPr>
                <w:sz w:val="20"/>
                <w:szCs w:val="20"/>
              </w:rPr>
            </w:pPr>
            <w:r>
              <w:rPr>
                <w:sz w:val="20"/>
                <w:szCs w:val="20"/>
              </w:rPr>
              <w:t xml:space="preserve">Successful completion of this CME activity, which includes participation in the evaluation component, enables the participant to earn up to </w:t>
            </w:r>
            <w:r w:rsidRPr="00FF6291">
              <w:rPr>
                <w:b/>
                <w:color w:val="C00000"/>
                <w:sz w:val="20"/>
                <w:szCs w:val="20"/>
              </w:rPr>
              <w:t>XX</w:t>
            </w:r>
            <w:r>
              <w:rPr>
                <w:sz w:val="20"/>
                <w:szCs w:val="20"/>
              </w:rPr>
              <w: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t>
            </w:r>
          </w:p>
          <w:p w:rsidR="00800602" w:rsidRDefault="00800602" w:rsidP="002F55F1"/>
        </w:tc>
      </w:tr>
      <w:tr w:rsidR="00800602" w:rsidRPr="008E2071" w:rsidTr="002F55F1">
        <w:tc>
          <w:tcPr>
            <w:tcW w:w="10790" w:type="dxa"/>
            <w:gridSpan w:val="2"/>
            <w:shd w:val="clear" w:color="auto" w:fill="FFF2CC" w:themeFill="accent4" w:themeFillTint="33"/>
          </w:tcPr>
          <w:p w:rsidR="00800602" w:rsidRPr="008E2071" w:rsidRDefault="00800602" w:rsidP="002F55F1">
            <w:pPr>
              <w:pStyle w:val="Default"/>
              <w:rPr>
                <w:sz w:val="23"/>
                <w:szCs w:val="23"/>
              </w:rPr>
            </w:pPr>
            <w:r>
              <w:rPr>
                <w:b/>
                <w:bCs/>
                <w:sz w:val="23"/>
                <w:szCs w:val="23"/>
              </w:rPr>
              <w:t xml:space="preserve">American Board of Surgery (ABS) Continuous Certification – Without Self-Assessment </w:t>
            </w:r>
          </w:p>
        </w:tc>
      </w:tr>
      <w:tr w:rsidR="00800602" w:rsidTr="002F55F1">
        <w:tc>
          <w:tcPr>
            <w:tcW w:w="3618" w:type="dxa"/>
          </w:tcPr>
          <w:p w:rsidR="00800602" w:rsidRDefault="00800602" w:rsidP="002F55F1">
            <w:pPr>
              <w:jc w:val="center"/>
            </w:pPr>
            <w:r>
              <w:rPr>
                <w:noProof/>
              </w:rPr>
              <w:drawing>
                <wp:inline distT="0" distB="0" distL="0" distR="0" wp14:anchorId="12BEEB8E" wp14:editId="415F5D35">
                  <wp:extent cx="933450" cy="913031"/>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74692"/>
                          <a:stretch/>
                        </pic:blipFill>
                        <pic:spPr bwMode="auto">
                          <a:xfrm>
                            <a:off x="0" y="0"/>
                            <a:ext cx="968404" cy="9472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72" w:type="dxa"/>
          </w:tcPr>
          <w:p w:rsidR="00800602" w:rsidRDefault="00800602" w:rsidP="002F55F1">
            <w:pPr>
              <w:pStyle w:val="Default"/>
              <w:rPr>
                <w:sz w:val="20"/>
                <w:szCs w:val="20"/>
              </w:rPr>
            </w:pPr>
            <w:r>
              <w:rPr>
                <w:sz w:val="20"/>
                <w:szCs w:val="20"/>
              </w:rPr>
              <w:t xml:space="preserve">Successful completion of this CME activity, which includes participation in the evaluation component, enables the learner to earn credit toward the CME of the American Board of Surgery’s Continuous Certification program. It is the CME activity provider's responsibility to submit learner completion information to ACCME for the purpose of granting ABS credit </w:t>
            </w:r>
          </w:p>
          <w:p w:rsidR="00800602" w:rsidRDefault="00800602" w:rsidP="002F55F1"/>
        </w:tc>
      </w:tr>
      <w:tr w:rsidR="00800602" w:rsidRPr="008E2071" w:rsidTr="002F55F1">
        <w:tc>
          <w:tcPr>
            <w:tcW w:w="10790" w:type="dxa"/>
            <w:gridSpan w:val="2"/>
            <w:shd w:val="clear" w:color="auto" w:fill="FFF2CC" w:themeFill="accent4" w:themeFillTint="33"/>
          </w:tcPr>
          <w:p w:rsidR="00800602" w:rsidRPr="008E2071" w:rsidRDefault="00800602" w:rsidP="002F55F1">
            <w:pPr>
              <w:pStyle w:val="Default"/>
              <w:rPr>
                <w:sz w:val="23"/>
                <w:szCs w:val="23"/>
              </w:rPr>
            </w:pPr>
            <w:r>
              <w:rPr>
                <w:b/>
                <w:bCs/>
                <w:sz w:val="23"/>
                <w:szCs w:val="23"/>
              </w:rPr>
              <w:t xml:space="preserve">American Board of Surgery (ABS) Continuous Certification – With Self-Assessment </w:t>
            </w:r>
          </w:p>
        </w:tc>
      </w:tr>
      <w:tr w:rsidR="00800602" w:rsidTr="002F55F1">
        <w:tc>
          <w:tcPr>
            <w:tcW w:w="3618" w:type="dxa"/>
          </w:tcPr>
          <w:p w:rsidR="00800602" w:rsidRDefault="00800602" w:rsidP="002F55F1">
            <w:pPr>
              <w:jc w:val="center"/>
            </w:pPr>
            <w:r>
              <w:rPr>
                <w:noProof/>
              </w:rPr>
              <w:drawing>
                <wp:inline distT="0" distB="0" distL="0" distR="0" wp14:anchorId="6688A23B" wp14:editId="22C49A39">
                  <wp:extent cx="933450" cy="913031"/>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74692"/>
                          <a:stretch/>
                        </pic:blipFill>
                        <pic:spPr bwMode="auto">
                          <a:xfrm>
                            <a:off x="0" y="0"/>
                            <a:ext cx="968404" cy="9472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72" w:type="dxa"/>
          </w:tcPr>
          <w:p w:rsidR="00800602" w:rsidRDefault="00800602" w:rsidP="002F55F1">
            <w:pPr>
              <w:pStyle w:val="Default"/>
              <w:rPr>
                <w:sz w:val="20"/>
                <w:szCs w:val="20"/>
              </w:rPr>
            </w:pPr>
            <w:r>
              <w:rPr>
                <w:sz w:val="20"/>
                <w:szCs w:val="20"/>
              </w:rPr>
              <w:t xml:space="preserve">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t>
            </w:r>
          </w:p>
          <w:p w:rsidR="00800602" w:rsidRDefault="00800602" w:rsidP="002F55F1"/>
        </w:tc>
      </w:tr>
    </w:tbl>
    <w:p w:rsidR="00800602" w:rsidRPr="00800602" w:rsidRDefault="00800602" w:rsidP="00C9005D">
      <w:pPr>
        <w:pStyle w:val="xxxmsonormal"/>
        <w:rPr>
          <w:rFonts w:ascii="Aptos" w:hAnsi="Aptos"/>
          <w:iCs/>
          <w:sz w:val="24"/>
          <w:szCs w:val="24"/>
        </w:rPr>
      </w:pPr>
    </w:p>
    <w:sectPr w:rsidR="00800602" w:rsidRPr="0080060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E1D" w:rsidRDefault="00481E1D" w:rsidP="00481E1D">
      <w:pPr>
        <w:spacing w:after="0" w:line="240" w:lineRule="auto"/>
      </w:pPr>
      <w:r>
        <w:separator/>
      </w:r>
    </w:p>
  </w:endnote>
  <w:endnote w:type="continuationSeparator" w:id="0">
    <w:p w:rsidR="00481E1D" w:rsidRDefault="00481E1D" w:rsidP="0048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1D" w:rsidRDefault="00481E1D" w:rsidP="00481E1D">
    <w:pPr>
      <w:pStyle w:val="Footer"/>
      <w:jc w:val="right"/>
    </w:pPr>
    <w:r>
      <w:t xml:space="preserve">DRAFT - </w:t>
    </w:r>
    <w:r>
      <w:fldChar w:fldCharType="begin"/>
    </w:r>
    <w:r>
      <w:instrText xml:space="preserve"> DATE \@ "M.d.yyyy" </w:instrText>
    </w:r>
    <w:r>
      <w:fldChar w:fldCharType="separate"/>
    </w:r>
    <w:r w:rsidR="003D2FA1">
      <w:rPr>
        <w:noProof/>
      </w:rPr>
      <w:t>9.26.2024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E1D" w:rsidRDefault="00481E1D" w:rsidP="00481E1D">
      <w:pPr>
        <w:spacing w:after="0" w:line="240" w:lineRule="auto"/>
      </w:pPr>
      <w:r>
        <w:separator/>
      </w:r>
    </w:p>
  </w:footnote>
  <w:footnote w:type="continuationSeparator" w:id="0">
    <w:p w:rsidR="00481E1D" w:rsidRDefault="00481E1D" w:rsidP="00481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218CB"/>
    <w:multiLevelType w:val="hybridMultilevel"/>
    <w:tmpl w:val="A408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5D"/>
    <w:rsid w:val="000C3FE8"/>
    <w:rsid w:val="00115FE9"/>
    <w:rsid w:val="00122BE2"/>
    <w:rsid w:val="0016541F"/>
    <w:rsid w:val="002329C0"/>
    <w:rsid w:val="002F7F49"/>
    <w:rsid w:val="003B399E"/>
    <w:rsid w:val="003C75B3"/>
    <w:rsid w:val="003D2FA1"/>
    <w:rsid w:val="00481E1D"/>
    <w:rsid w:val="004F6E43"/>
    <w:rsid w:val="00517E1C"/>
    <w:rsid w:val="005968FF"/>
    <w:rsid w:val="00800602"/>
    <w:rsid w:val="008A1572"/>
    <w:rsid w:val="008C55DC"/>
    <w:rsid w:val="00A404D8"/>
    <w:rsid w:val="00A463F2"/>
    <w:rsid w:val="00C9005D"/>
    <w:rsid w:val="00DA1740"/>
    <w:rsid w:val="00F90DED"/>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DC2C3-543F-4D3C-9A36-C80A8891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C9005D"/>
    <w:pPr>
      <w:spacing w:after="0" w:line="240" w:lineRule="auto"/>
    </w:pPr>
    <w:rPr>
      <w:rFonts w:ascii="Calibri" w:hAnsi="Calibri" w:cs="Calibri"/>
    </w:rPr>
  </w:style>
  <w:style w:type="paragraph" w:customStyle="1" w:styleId="xmsonormal">
    <w:name w:val="x_msonormal"/>
    <w:basedOn w:val="Normal"/>
    <w:rsid w:val="00C9005D"/>
    <w:pPr>
      <w:spacing w:after="0" w:line="240" w:lineRule="auto"/>
    </w:pPr>
    <w:rPr>
      <w:rFonts w:ascii="Calibri" w:hAnsi="Calibri" w:cs="Calibri"/>
    </w:rPr>
  </w:style>
  <w:style w:type="table" w:styleId="TableGrid">
    <w:name w:val="Table Grid"/>
    <w:basedOn w:val="TableNormal"/>
    <w:uiPriority w:val="39"/>
    <w:rsid w:val="0059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BE2"/>
    <w:pPr>
      <w:ind w:left="720"/>
      <w:contextualSpacing/>
    </w:pPr>
  </w:style>
  <w:style w:type="paragraph" w:customStyle="1" w:styleId="Default">
    <w:name w:val="Default"/>
    <w:rsid w:val="0080060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63F2"/>
    <w:rPr>
      <w:color w:val="0563C1" w:themeColor="hyperlink"/>
      <w:u w:val="single"/>
    </w:rPr>
  </w:style>
  <w:style w:type="character" w:styleId="UnresolvedMention">
    <w:name w:val="Unresolved Mention"/>
    <w:basedOn w:val="DefaultParagraphFont"/>
    <w:uiPriority w:val="99"/>
    <w:semiHidden/>
    <w:unhideWhenUsed/>
    <w:rsid w:val="00A463F2"/>
    <w:rPr>
      <w:color w:val="605E5C"/>
      <w:shd w:val="clear" w:color="auto" w:fill="E1DFDD"/>
    </w:rPr>
  </w:style>
  <w:style w:type="paragraph" w:styleId="Header">
    <w:name w:val="header"/>
    <w:basedOn w:val="Normal"/>
    <w:link w:val="HeaderChar"/>
    <w:uiPriority w:val="99"/>
    <w:unhideWhenUsed/>
    <w:rsid w:val="00481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E1D"/>
  </w:style>
  <w:style w:type="paragraph" w:styleId="Footer">
    <w:name w:val="footer"/>
    <w:basedOn w:val="Normal"/>
    <w:link w:val="FooterChar"/>
    <w:uiPriority w:val="99"/>
    <w:unhideWhenUsed/>
    <w:rsid w:val="00481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970036">
      <w:bodyDiv w:val="1"/>
      <w:marLeft w:val="0"/>
      <w:marRight w:val="0"/>
      <w:marTop w:val="0"/>
      <w:marBottom w:val="0"/>
      <w:divBdr>
        <w:top w:val="none" w:sz="0" w:space="0" w:color="auto"/>
        <w:left w:val="none" w:sz="0" w:space="0" w:color="auto"/>
        <w:bottom w:val="none" w:sz="0" w:space="0" w:color="auto"/>
        <w:right w:val="none" w:sz="0" w:space="0" w:color="auto"/>
      </w:divBdr>
    </w:div>
    <w:div w:id="107774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info@piedmont.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Piedmont Healthcare</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Groarke</dc:creator>
  <cp:keywords/>
  <dc:description/>
  <cp:lastModifiedBy>Linda Groarke</cp:lastModifiedBy>
  <cp:revision>2</cp:revision>
  <dcterms:created xsi:type="dcterms:W3CDTF">2024-09-26T18:15:00Z</dcterms:created>
  <dcterms:modified xsi:type="dcterms:W3CDTF">2024-09-26T18:15:00Z</dcterms:modified>
</cp:coreProperties>
</file>